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2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5185"/>
      </w:tblGrid>
      <w:tr w:rsidR="00784B83" w:rsidRPr="002D6EC9" w:rsidTr="00901F54">
        <w:tc>
          <w:tcPr>
            <w:tcW w:w="10320" w:type="dxa"/>
            <w:gridSpan w:val="2"/>
            <w:tcBorders>
              <w:top w:val="thickThinSmallGap" w:sz="24" w:space="0" w:color="auto"/>
              <w:left w:val="thickThinSmallGap" w:sz="24" w:space="0" w:color="auto"/>
              <w:right w:val="thickThinSmallGap" w:sz="24" w:space="0" w:color="auto"/>
            </w:tcBorders>
            <w:shd w:val="clear" w:color="auto" w:fill="auto"/>
            <w:vAlign w:val="center"/>
          </w:tcPr>
          <w:p w:rsidR="00784B83" w:rsidRPr="002D6EC9" w:rsidRDefault="00784B83" w:rsidP="00901F54">
            <w:pPr>
              <w:jc w:val="center"/>
            </w:pPr>
          </w:p>
          <w:p w:rsidR="00784B83" w:rsidRPr="002E7BAF" w:rsidRDefault="00784B83" w:rsidP="00901F54">
            <w:pPr>
              <w:jc w:val="center"/>
              <w:rPr>
                <w:b/>
              </w:rPr>
            </w:pPr>
            <w:r w:rsidRPr="002E7BAF">
              <w:rPr>
                <w:b/>
              </w:rPr>
              <w:t>OBRAZAC</w:t>
            </w:r>
          </w:p>
          <w:p w:rsidR="00784B83" w:rsidRDefault="00784B83" w:rsidP="00901F54">
            <w:pPr>
              <w:jc w:val="center"/>
              <w:rPr>
                <w:b/>
              </w:rPr>
            </w:pPr>
            <w:r w:rsidRPr="00191F94">
              <w:rPr>
                <w:b/>
              </w:rPr>
              <w:t xml:space="preserve">sudjelovanja javnosti </w:t>
            </w:r>
            <w:r>
              <w:rPr>
                <w:b/>
              </w:rPr>
              <w:t xml:space="preserve">u internetskom savjetovanju o nacrtu prijedloga odluke </w:t>
            </w:r>
          </w:p>
          <w:p w:rsidR="00784B83" w:rsidRPr="00191F94" w:rsidRDefault="00784B83" w:rsidP="00901F54">
            <w:pPr>
              <w:jc w:val="center"/>
              <w:rPr>
                <w:b/>
              </w:rPr>
            </w:pPr>
            <w:r>
              <w:rPr>
                <w:b/>
              </w:rPr>
              <w:t xml:space="preserve">ili drugog općeg akta </w:t>
            </w:r>
          </w:p>
          <w:p w:rsidR="00784B83" w:rsidRPr="002D6EC9" w:rsidRDefault="00784B83" w:rsidP="00901F54">
            <w:pPr>
              <w:jc w:val="center"/>
            </w:pPr>
          </w:p>
        </w:tc>
      </w:tr>
      <w:tr w:rsidR="00784B83" w:rsidRPr="0028397F" w:rsidTr="00901F54">
        <w:trPr>
          <w:trHeight w:val="481"/>
        </w:trPr>
        <w:tc>
          <w:tcPr>
            <w:tcW w:w="5135" w:type="dxa"/>
            <w:tcBorders>
              <w:left w:val="thickThinSmallGap" w:sz="24" w:space="0" w:color="auto"/>
            </w:tcBorders>
            <w:shd w:val="clear" w:color="auto" w:fill="auto"/>
            <w:vAlign w:val="center"/>
          </w:tcPr>
          <w:p w:rsidR="00784B83" w:rsidRPr="00407EE1" w:rsidRDefault="00784B83" w:rsidP="00901F54">
            <w:pPr>
              <w:rPr>
                <w:b/>
              </w:rPr>
            </w:pPr>
            <w:r w:rsidRPr="00407EE1">
              <w:rPr>
                <w:b/>
              </w:rPr>
              <w:t xml:space="preserve">Naziv </w:t>
            </w:r>
            <w:r>
              <w:rPr>
                <w:b/>
              </w:rPr>
              <w:t xml:space="preserve">nacrta odluke ili drugog općeg </w:t>
            </w:r>
            <w:r w:rsidRPr="00407EE1">
              <w:rPr>
                <w:b/>
              </w:rPr>
              <w:t>akta o kojem se provodi savjetovanje</w:t>
            </w:r>
          </w:p>
        </w:tc>
        <w:tc>
          <w:tcPr>
            <w:tcW w:w="5185" w:type="dxa"/>
            <w:tcBorders>
              <w:right w:val="thickThinSmallGap" w:sz="24" w:space="0" w:color="auto"/>
            </w:tcBorders>
            <w:shd w:val="clear" w:color="auto" w:fill="auto"/>
            <w:vAlign w:val="center"/>
          </w:tcPr>
          <w:p w:rsidR="00784B83" w:rsidRPr="0028397F" w:rsidRDefault="00784B83" w:rsidP="00784B83">
            <w:pPr>
              <w:adjustRightInd w:val="0"/>
            </w:pPr>
            <w:r>
              <w:t xml:space="preserve">Nacrt prijedloga Odluke o </w:t>
            </w:r>
            <w:r>
              <w:t>grobljima</w:t>
            </w:r>
            <w:r>
              <w:t xml:space="preserve"> </w:t>
            </w:r>
          </w:p>
        </w:tc>
      </w:tr>
      <w:tr w:rsidR="00784B83" w:rsidRPr="00407EE1" w:rsidTr="00901F54">
        <w:trPr>
          <w:trHeight w:val="410"/>
        </w:trPr>
        <w:tc>
          <w:tcPr>
            <w:tcW w:w="5135" w:type="dxa"/>
            <w:tcBorders>
              <w:left w:val="thickThinSmallGap" w:sz="24" w:space="0" w:color="auto"/>
            </w:tcBorders>
            <w:shd w:val="clear" w:color="auto" w:fill="auto"/>
            <w:vAlign w:val="center"/>
          </w:tcPr>
          <w:p w:rsidR="00784B83" w:rsidRPr="00407EE1" w:rsidRDefault="00784B83" w:rsidP="00901F54">
            <w:pPr>
              <w:rPr>
                <w:b/>
              </w:rPr>
            </w:pPr>
            <w:r w:rsidRPr="00407EE1">
              <w:rPr>
                <w:b/>
              </w:rPr>
              <w:t>Naziv gradskog upravnog tijela nadležnog za izradu nacrta</w:t>
            </w:r>
            <w:r>
              <w:rPr>
                <w:b/>
              </w:rPr>
              <w:t xml:space="preserve"> </w:t>
            </w:r>
          </w:p>
        </w:tc>
        <w:tc>
          <w:tcPr>
            <w:tcW w:w="5185" w:type="dxa"/>
            <w:tcBorders>
              <w:right w:val="thickThinSmallGap" w:sz="24" w:space="0" w:color="auto"/>
            </w:tcBorders>
            <w:shd w:val="clear" w:color="auto" w:fill="auto"/>
            <w:vAlign w:val="center"/>
          </w:tcPr>
          <w:p w:rsidR="00784B83" w:rsidRPr="005B02A3" w:rsidRDefault="00784B83" w:rsidP="00901F54">
            <w:pPr>
              <w:jc w:val="both"/>
              <w:rPr>
                <w:lang w:eastAsia="en-US"/>
              </w:rPr>
            </w:pPr>
            <w:r w:rsidRPr="005B02A3">
              <w:rPr>
                <w:lang w:eastAsia="en-US"/>
              </w:rPr>
              <w:t>Gradski ured za</w:t>
            </w:r>
            <w:r>
              <w:rPr>
                <w:lang w:eastAsia="en-US"/>
              </w:rPr>
              <w:t xml:space="preserve"> obnovu, izgradnju,</w:t>
            </w:r>
            <w:r w:rsidRPr="005B02A3">
              <w:rPr>
                <w:lang w:eastAsia="en-US"/>
              </w:rPr>
              <w:t xml:space="preserve"> prostorno uređenje, graditeljs</w:t>
            </w:r>
            <w:r>
              <w:rPr>
                <w:lang w:eastAsia="en-US"/>
              </w:rPr>
              <w:t xml:space="preserve">tvo i komunalne poslove </w:t>
            </w:r>
          </w:p>
          <w:p w:rsidR="00784B83" w:rsidRPr="00407EE1" w:rsidRDefault="00784B83" w:rsidP="00901F54">
            <w:pPr>
              <w:jc w:val="center"/>
              <w:rPr>
                <w:b/>
                <w:i/>
              </w:rPr>
            </w:pPr>
          </w:p>
        </w:tc>
      </w:tr>
      <w:tr w:rsidR="00784B83" w:rsidRPr="00867191" w:rsidTr="00901F54">
        <w:trPr>
          <w:trHeight w:val="410"/>
        </w:trPr>
        <w:tc>
          <w:tcPr>
            <w:tcW w:w="5135" w:type="dxa"/>
            <w:tcBorders>
              <w:left w:val="thickThinSmallGap" w:sz="24" w:space="0" w:color="auto"/>
            </w:tcBorders>
            <w:shd w:val="clear" w:color="auto" w:fill="auto"/>
            <w:vAlign w:val="center"/>
          </w:tcPr>
          <w:p w:rsidR="00784B83" w:rsidRPr="00D22C35" w:rsidRDefault="00784B83" w:rsidP="00901F54">
            <w:pPr>
              <w:rPr>
                <w:b/>
              </w:rPr>
            </w:pPr>
            <w:r w:rsidRPr="007729B4">
              <w:rPr>
                <w:b/>
              </w:rPr>
              <w:t>Obrazloženje razloga i ciljeva koji se žele postići donošenjem akta</w:t>
            </w:r>
            <w:r w:rsidRPr="00D22C35">
              <w:rPr>
                <w:b/>
              </w:rPr>
              <w:t xml:space="preserve"> </w:t>
            </w:r>
          </w:p>
        </w:tc>
        <w:tc>
          <w:tcPr>
            <w:tcW w:w="5185" w:type="dxa"/>
            <w:tcBorders>
              <w:right w:val="thickThinSmallGap" w:sz="24" w:space="0" w:color="auto"/>
            </w:tcBorders>
            <w:shd w:val="clear" w:color="auto" w:fill="auto"/>
            <w:vAlign w:val="center"/>
          </w:tcPr>
          <w:p w:rsidR="008F091B" w:rsidRPr="008F091B" w:rsidRDefault="008F091B" w:rsidP="008F091B">
            <w:pPr>
              <w:shd w:val="clear" w:color="auto" w:fill="FFFFFF"/>
              <w:jc w:val="both"/>
              <w:rPr>
                <w:sz w:val="22"/>
                <w:szCs w:val="22"/>
              </w:rPr>
            </w:pPr>
            <w:r>
              <w:rPr>
                <w:sz w:val="22"/>
                <w:szCs w:val="22"/>
              </w:rPr>
              <w:t>Zakonom o grobljima</w:t>
            </w:r>
            <w:r w:rsidRPr="008F091B">
              <w:rPr>
                <w:sz w:val="22"/>
                <w:szCs w:val="22"/>
              </w:rPr>
              <w:t xml:space="preserve"> propisana </w:t>
            </w:r>
            <w:r>
              <w:rPr>
                <w:sz w:val="22"/>
                <w:szCs w:val="22"/>
              </w:rPr>
              <w:t xml:space="preserve">je </w:t>
            </w:r>
            <w:r w:rsidRPr="008F091B">
              <w:rPr>
                <w:sz w:val="22"/>
                <w:szCs w:val="22"/>
              </w:rPr>
              <w:t>obveza predstavničkog tijel</w:t>
            </w:r>
            <w:r>
              <w:rPr>
                <w:sz w:val="22"/>
                <w:szCs w:val="22"/>
              </w:rPr>
              <w:t>a</w:t>
            </w:r>
            <w:r w:rsidRPr="008F091B">
              <w:rPr>
                <w:sz w:val="22"/>
                <w:szCs w:val="22"/>
              </w:rPr>
              <w:t xml:space="preserve"> jedinice lokalne samouprave da u roku od godine dana od </w:t>
            </w:r>
            <w:r>
              <w:rPr>
                <w:sz w:val="22"/>
                <w:szCs w:val="22"/>
              </w:rPr>
              <w:t>dana stupanja na snagu Zakona</w:t>
            </w:r>
            <w:r w:rsidRPr="008F091B">
              <w:rPr>
                <w:sz w:val="22"/>
                <w:szCs w:val="22"/>
              </w:rPr>
              <w:t xml:space="preserve"> donese novu odluku o grobljim</w:t>
            </w:r>
            <w:r>
              <w:rPr>
                <w:sz w:val="22"/>
                <w:szCs w:val="22"/>
              </w:rPr>
              <w:t>a</w:t>
            </w:r>
            <w:r w:rsidRPr="008F091B">
              <w:rPr>
                <w:sz w:val="22"/>
                <w:szCs w:val="22"/>
              </w:rPr>
              <w:t xml:space="preserve">. </w:t>
            </w:r>
          </w:p>
          <w:p w:rsidR="00784B83" w:rsidRDefault="00784B83" w:rsidP="00901F54">
            <w:pPr>
              <w:shd w:val="clear" w:color="auto" w:fill="FFFFFF"/>
              <w:jc w:val="both"/>
              <w:rPr>
                <w:sz w:val="22"/>
                <w:szCs w:val="22"/>
              </w:rPr>
            </w:pPr>
            <w:r w:rsidRPr="00867191">
              <w:rPr>
                <w:sz w:val="22"/>
                <w:szCs w:val="22"/>
              </w:rPr>
              <w:t>Nacrtom prijedloga Odluke</w:t>
            </w:r>
            <w:r>
              <w:rPr>
                <w:sz w:val="22"/>
                <w:szCs w:val="22"/>
              </w:rPr>
              <w:t xml:space="preserve"> </w:t>
            </w:r>
            <w:r>
              <w:rPr>
                <w:sz w:val="22"/>
                <w:szCs w:val="22"/>
              </w:rPr>
              <w:t xml:space="preserve">o grobljima </w:t>
            </w:r>
            <w:r w:rsidR="00E70746">
              <w:rPr>
                <w:sz w:val="22"/>
                <w:szCs w:val="22"/>
              </w:rPr>
              <w:t xml:space="preserve">određuju se: </w:t>
            </w:r>
            <w:r w:rsidR="00E70746" w:rsidRPr="00E70746">
              <w:rPr>
                <w:sz w:val="22"/>
                <w:szCs w:val="22"/>
              </w:rPr>
              <w:t>mjerila i kriteriji za dodjelu i ustupanje grobnih mjesta na korištenje iskopavanje i premještanje posmrtnih ostataka, ukopi i privremeni ukopi, način ukopa nepoznatih osoba, produbljenje groba i premještanje posmrtnih ostataka u grobnici, održavanje groblja i uklanjanje otpada, veličina, dimenzije, materijal i izgled grobnih mjesta, uvjeti upravljanja grobljem od strane pravne osobe koja upravlja grobljem, uvjeti, način i mjesto prosipanja kremiranih posmrtnih ostataka umrle osobe, uvjeti i mjerila za plaćanje naknade pri dodjeli grobnog mjesta i godišnje grobne naknade, uvjeti za ustupanje prava korištenja grobnog mjesta trećim osobama, mogućnost da pojedini dijelovi groblja služe za ukope članova pojedinih vjerskih zajednica, mogućnost da se grobno mjesto dodijeli na korištenje bez obaveze premještanja ostataka tijela umrl</w:t>
            </w:r>
            <w:r w:rsidR="00E70746">
              <w:rPr>
                <w:sz w:val="22"/>
                <w:szCs w:val="22"/>
              </w:rPr>
              <w:t xml:space="preserve">ih osoba u zajedničku grobnicu i </w:t>
            </w:r>
            <w:r w:rsidR="00E70746" w:rsidRPr="00E70746">
              <w:rPr>
                <w:sz w:val="22"/>
                <w:szCs w:val="22"/>
              </w:rPr>
              <w:t>pravila za određivanje naknade za stjecanje opreme i uređaja koji se nalaze na grobnom mjestu bez korisnika grobnog mjesta</w:t>
            </w:r>
            <w:r w:rsidR="00E70746">
              <w:rPr>
                <w:sz w:val="22"/>
                <w:szCs w:val="22"/>
              </w:rPr>
              <w:t xml:space="preserve">. </w:t>
            </w:r>
          </w:p>
          <w:p w:rsidR="00E70746" w:rsidRDefault="00E70746" w:rsidP="00901F54">
            <w:pPr>
              <w:shd w:val="clear" w:color="auto" w:fill="FFFFFF"/>
              <w:jc w:val="both"/>
              <w:rPr>
                <w:sz w:val="22"/>
                <w:szCs w:val="22"/>
              </w:rPr>
            </w:pPr>
            <w:r>
              <w:rPr>
                <w:sz w:val="22"/>
                <w:szCs w:val="22"/>
              </w:rPr>
              <w:t>Prijedlogom odluke</w:t>
            </w:r>
            <w:r w:rsidRPr="00E70746">
              <w:rPr>
                <w:sz w:val="22"/>
                <w:szCs w:val="22"/>
              </w:rPr>
              <w:t xml:space="preserve"> svakom korisniku osigurava se pravo ukopa u zemljani grob s betoniranim okvirom u razini tla u najnižoj zoni redovnih ukopa, što predstavlja osnovni standard pri dodjeli grobnih mjesta u najnižoj zoni groblja sukladno aktu kojim se uređuju zone na grobljima, odnosno u kazetu za urne na grobljima ako je umrla osoba u trenutku smrti ili više od polovice životnog vijeka imala prijavljeno prebivalište na području Grada Zagreba.</w:t>
            </w:r>
          </w:p>
          <w:p w:rsidR="00784B83" w:rsidRPr="00867191" w:rsidRDefault="00E70746" w:rsidP="00E70746">
            <w:pPr>
              <w:shd w:val="clear" w:color="auto" w:fill="FFFFFF"/>
              <w:jc w:val="both"/>
              <w:rPr>
                <w:sz w:val="22"/>
                <w:szCs w:val="22"/>
              </w:rPr>
            </w:pPr>
            <w:r w:rsidRPr="00E70746">
              <w:rPr>
                <w:sz w:val="22"/>
                <w:szCs w:val="22"/>
              </w:rPr>
              <w:t xml:space="preserve">Predloženom odlukom uređena su pitanja dodjele, korištenja grobnih mjesta, održavanja kao i ostale obveze kojih su se dužni pridržavati korisnici te obveze Gradskih groblja kao upravitelja groblja na području Grada Zagreba. </w:t>
            </w:r>
            <w:bookmarkStart w:id="0" w:name="_GoBack"/>
            <w:bookmarkEnd w:id="0"/>
          </w:p>
        </w:tc>
      </w:tr>
      <w:tr w:rsidR="00784B83" w:rsidRPr="00560531" w:rsidTr="00901F54">
        <w:trPr>
          <w:trHeight w:val="756"/>
        </w:trPr>
        <w:tc>
          <w:tcPr>
            <w:tcW w:w="10320" w:type="dxa"/>
            <w:gridSpan w:val="2"/>
            <w:tcBorders>
              <w:left w:val="thickThinSmallGap" w:sz="24" w:space="0" w:color="auto"/>
              <w:bottom w:val="thickThinSmallGap" w:sz="24" w:space="0" w:color="auto"/>
              <w:right w:val="thickThinSmallGap" w:sz="24" w:space="0" w:color="auto"/>
            </w:tcBorders>
            <w:shd w:val="clear" w:color="auto" w:fill="auto"/>
            <w:vAlign w:val="center"/>
          </w:tcPr>
          <w:p w:rsidR="00784B83" w:rsidRPr="00D22C35" w:rsidRDefault="00784B83" w:rsidP="00901F54">
            <w:pPr>
              <w:jc w:val="center"/>
              <w:rPr>
                <w:b/>
              </w:rPr>
            </w:pPr>
            <w:r w:rsidRPr="00D22C35">
              <w:rPr>
                <w:b/>
              </w:rPr>
              <w:t>Razdoblje internetskog savjetovanja</w:t>
            </w:r>
          </w:p>
          <w:p w:rsidR="00784B83" w:rsidRDefault="00784B83" w:rsidP="00901F54">
            <w:pPr>
              <w:jc w:val="center"/>
              <w:rPr>
                <w:b/>
                <w:i/>
              </w:rPr>
            </w:pPr>
            <w:r>
              <w:rPr>
                <w:b/>
                <w:i/>
              </w:rPr>
              <w:t>(</w:t>
            </w:r>
            <w:r>
              <w:rPr>
                <w:b/>
                <w:i/>
              </w:rPr>
              <w:t>20</w:t>
            </w:r>
            <w:r>
              <w:rPr>
                <w:b/>
                <w:i/>
              </w:rPr>
              <w:t xml:space="preserve">. listopada – </w:t>
            </w:r>
            <w:r>
              <w:rPr>
                <w:b/>
                <w:i/>
              </w:rPr>
              <w:t>18</w:t>
            </w:r>
            <w:r>
              <w:rPr>
                <w:b/>
                <w:i/>
              </w:rPr>
              <w:t>. studenog 2025.)</w:t>
            </w:r>
          </w:p>
          <w:p w:rsidR="00784B83" w:rsidRPr="00560531" w:rsidRDefault="00784B83" w:rsidP="00901F54">
            <w:pPr>
              <w:jc w:val="both"/>
            </w:pPr>
          </w:p>
        </w:tc>
      </w:tr>
      <w:tr w:rsidR="00784B83" w:rsidRPr="002D6EC9" w:rsidTr="00901F54">
        <w:trPr>
          <w:trHeight w:val="1090"/>
        </w:trPr>
        <w:tc>
          <w:tcPr>
            <w:tcW w:w="5135" w:type="dxa"/>
            <w:tcBorders>
              <w:top w:val="thickThinSmallGap" w:sz="24" w:space="0" w:color="auto"/>
              <w:left w:val="thickThinSmallGap" w:sz="24" w:space="0" w:color="auto"/>
            </w:tcBorders>
            <w:vAlign w:val="center"/>
          </w:tcPr>
          <w:p w:rsidR="00784B83" w:rsidRPr="002D6EC9" w:rsidRDefault="00784B83" w:rsidP="00901F54">
            <w:r>
              <w:lastRenderedPageBreak/>
              <w:t>Ime i prezime osobe odnosno n</w:t>
            </w:r>
            <w:r w:rsidRPr="002D6EC9">
              <w:t>aziv predstavn</w:t>
            </w:r>
            <w:r>
              <w:t xml:space="preserve">ika </w:t>
            </w:r>
            <w:r w:rsidRPr="000F1899">
              <w:t>zainteresirane</w:t>
            </w:r>
            <w:r>
              <w:t xml:space="preserve"> javnosti koja</w:t>
            </w:r>
            <w:r w:rsidRPr="002D6EC9">
              <w:t xml:space="preserve"> daje svoje primjedbe i prijedloge na predloženi nacrt</w:t>
            </w:r>
          </w:p>
        </w:tc>
        <w:tc>
          <w:tcPr>
            <w:tcW w:w="5185" w:type="dxa"/>
            <w:tcBorders>
              <w:top w:val="thickThinSmallGap" w:sz="24" w:space="0" w:color="auto"/>
              <w:right w:val="thickThinSmallGap" w:sz="24" w:space="0" w:color="auto"/>
            </w:tcBorders>
            <w:vAlign w:val="center"/>
          </w:tcPr>
          <w:p w:rsidR="00784B83" w:rsidRPr="002D6EC9" w:rsidRDefault="00784B83" w:rsidP="00901F54"/>
        </w:tc>
      </w:tr>
      <w:tr w:rsidR="00784B83" w:rsidRPr="002D6EC9" w:rsidTr="00901F54">
        <w:trPr>
          <w:trHeight w:val="689"/>
        </w:trPr>
        <w:tc>
          <w:tcPr>
            <w:tcW w:w="5135" w:type="dxa"/>
            <w:tcBorders>
              <w:left w:val="thickThinSmallGap" w:sz="24" w:space="0" w:color="auto"/>
            </w:tcBorders>
            <w:vAlign w:val="center"/>
          </w:tcPr>
          <w:p w:rsidR="00784B83" w:rsidRPr="002D6EC9" w:rsidRDefault="00784B83" w:rsidP="00901F54">
            <w:r w:rsidRPr="002D6EC9">
              <w:t>Interes, odnosno kategorija i brojnost korisnika koje predstavljate</w:t>
            </w:r>
          </w:p>
        </w:tc>
        <w:tc>
          <w:tcPr>
            <w:tcW w:w="5185" w:type="dxa"/>
            <w:tcBorders>
              <w:right w:val="thickThinSmallGap" w:sz="24" w:space="0" w:color="auto"/>
            </w:tcBorders>
            <w:vAlign w:val="center"/>
          </w:tcPr>
          <w:p w:rsidR="00784B83" w:rsidRPr="002D6EC9" w:rsidRDefault="00784B83" w:rsidP="00901F54"/>
        </w:tc>
      </w:tr>
      <w:tr w:rsidR="00784B83" w:rsidRPr="002D6EC9" w:rsidTr="00901F54">
        <w:trPr>
          <w:trHeight w:val="544"/>
        </w:trPr>
        <w:tc>
          <w:tcPr>
            <w:tcW w:w="5135" w:type="dxa"/>
            <w:tcBorders>
              <w:left w:val="thickThinSmallGap" w:sz="24" w:space="0" w:color="auto"/>
            </w:tcBorders>
            <w:vAlign w:val="center"/>
          </w:tcPr>
          <w:p w:rsidR="00784B83" w:rsidRPr="002D6EC9" w:rsidRDefault="00784B83" w:rsidP="00901F54">
            <w:r w:rsidRPr="002D6EC9">
              <w:t>Načelne primjedbe</w:t>
            </w:r>
            <w:r>
              <w:t xml:space="preserve"> i prijedlozi na predloženi nacrt akta s obrazloženjem</w:t>
            </w:r>
          </w:p>
        </w:tc>
        <w:tc>
          <w:tcPr>
            <w:tcW w:w="5185" w:type="dxa"/>
            <w:tcBorders>
              <w:right w:val="thickThinSmallGap" w:sz="24" w:space="0" w:color="auto"/>
            </w:tcBorders>
            <w:vAlign w:val="center"/>
          </w:tcPr>
          <w:p w:rsidR="00784B83" w:rsidRDefault="00784B83" w:rsidP="00901F54"/>
          <w:p w:rsidR="00784B83" w:rsidRDefault="00784B83" w:rsidP="00901F54"/>
          <w:p w:rsidR="00784B83" w:rsidRDefault="00784B83" w:rsidP="00901F54"/>
          <w:p w:rsidR="00784B83" w:rsidRDefault="00784B83" w:rsidP="00901F54"/>
          <w:p w:rsidR="00784B83" w:rsidRPr="002D6EC9" w:rsidRDefault="00784B83" w:rsidP="00901F54"/>
        </w:tc>
      </w:tr>
      <w:tr w:rsidR="00784B83" w:rsidRPr="002D6EC9" w:rsidTr="00901F54">
        <w:trPr>
          <w:trHeight w:val="1782"/>
        </w:trPr>
        <w:tc>
          <w:tcPr>
            <w:tcW w:w="5135" w:type="dxa"/>
            <w:tcBorders>
              <w:left w:val="thickThinSmallGap" w:sz="24" w:space="0" w:color="auto"/>
            </w:tcBorders>
            <w:vAlign w:val="center"/>
          </w:tcPr>
          <w:p w:rsidR="00784B83" w:rsidRPr="002D6EC9" w:rsidRDefault="00784B83" w:rsidP="00901F54">
            <w:r w:rsidRPr="002D6EC9">
              <w:t xml:space="preserve">Primjedbe </w:t>
            </w:r>
            <w:r>
              <w:t>i prijedlozi na pojedine članke nacrta prijedloga akta</w:t>
            </w:r>
            <w:r w:rsidRPr="002D6EC9">
              <w:t xml:space="preserve"> s obrazloženjem</w:t>
            </w:r>
          </w:p>
          <w:p w:rsidR="00784B83" w:rsidRPr="002D6EC9" w:rsidRDefault="00784B83" w:rsidP="00901F54"/>
          <w:p w:rsidR="00784B83" w:rsidRPr="002E7BAF" w:rsidRDefault="00784B83" w:rsidP="00901F54">
            <w:pPr>
              <w:rPr>
                <w:i/>
              </w:rPr>
            </w:pPr>
          </w:p>
        </w:tc>
        <w:tc>
          <w:tcPr>
            <w:tcW w:w="5185" w:type="dxa"/>
            <w:tcBorders>
              <w:right w:val="thickThinSmallGap" w:sz="24" w:space="0" w:color="auto"/>
            </w:tcBorders>
            <w:vAlign w:val="center"/>
          </w:tcPr>
          <w:p w:rsidR="00784B83" w:rsidRPr="002D6EC9" w:rsidRDefault="00784B83" w:rsidP="00901F54"/>
        </w:tc>
      </w:tr>
      <w:tr w:rsidR="00784B83" w:rsidRPr="002D6EC9" w:rsidTr="00901F54">
        <w:trPr>
          <w:trHeight w:val="1236"/>
        </w:trPr>
        <w:tc>
          <w:tcPr>
            <w:tcW w:w="5135" w:type="dxa"/>
            <w:tcBorders>
              <w:left w:val="thickThinSmallGap" w:sz="24" w:space="0" w:color="auto"/>
            </w:tcBorders>
            <w:vAlign w:val="center"/>
          </w:tcPr>
          <w:p w:rsidR="00784B83" w:rsidRPr="002D6EC9" w:rsidRDefault="00784B83" w:rsidP="00901F54">
            <w:r w:rsidRPr="002D6EC9">
              <w:t xml:space="preserve">Ime i prezime osobe (ili osoba) koja je sastavljala primjedbe </w:t>
            </w:r>
            <w:r>
              <w:t xml:space="preserve">i prijedloge </w:t>
            </w:r>
            <w:r w:rsidRPr="002D6EC9">
              <w:t xml:space="preserve">ili osobe </w:t>
            </w:r>
            <w:r>
              <w:t>koja</w:t>
            </w:r>
            <w:r w:rsidRPr="002D6EC9">
              <w:t xml:space="preserve"> </w:t>
            </w:r>
            <w:r>
              <w:t>predstavlja</w:t>
            </w:r>
            <w:r w:rsidRPr="002D6EC9">
              <w:t xml:space="preserve"> </w:t>
            </w:r>
            <w:r>
              <w:t>zainteresiranu javnost, e-mail ili drugi podaci za kontakt</w:t>
            </w:r>
          </w:p>
        </w:tc>
        <w:tc>
          <w:tcPr>
            <w:tcW w:w="5185" w:type="dxa"/>
            <w:tcBorders>
              <w:right w:val="thickThinSmallGap" w:sz="24" w:space="0" w:color="auto"/>
            </w:tcBorders>
            <w:vAlign w:val="center"/>
          </w:tcPr>
          <w:p w:rsidR="00784B83" w:rsidRPr="002D6EC9" w:rsidRDefault="00784B83" w:rsidP="00901F54"/>
        </w:tc>
      </w:tr>
      <w:tr w:rsidR="00784B83" w:rsidRPr="002D6EC9" w:rsidTr="00901F54">
        <w:trPr>
          <w:trHeight w:val="531"/>
        </w:trPr>
        <w:tc>
          <w:tcPr>
            <w:tcW w:w="5135" w:type="dxa"/>
            <w:tcBorders>
              <w:left w:val="thickThinSmallGap" w:sz="24" w:space="0" w:color="auto"/>
              <w:bottom w:val="thickThinSmallGap" w:sz="24" w:space="0" w:color="auto"/>
            </w:tcBorders>
            <w:vAlign w:val="center"/>
          </w:tcPr>
          <w:p w:rsidR="00784B83" w:rsidRPr="002D6EC9" w:rsidRDefault="00784B83" w:rsidP="00901F54">
            <w:r w:rsidRPr="002D6EC9">
              <w:t>Datum dostavljanja</w:t>
            </w:r>
          </w:p>
        </w:tc>
        <w:tc>
          <w:tcPr>
            <w:tcW w:w="5185" w:type="dxa"/>
            <w:tcBorders>
              <w:bottom w:val="thickThinSmallGap" w:sz="24" w:space="0" w:color="auto"/>
              <w:right w:val="thickThinSmallGap" w:sz="24" w:space="0" w:color="auto"/>
            </w:tcBorders>
            <w:vAlign w:val="center"/>
          </w:tcPr>
          <w:p w:rsidR="00784B83" w:rsidRPr="002D6EC9" w:rsidRDefault="00784B83" w:rsidP="00901F54"/>
        </w:tc>
      </w:tr>
    </w:tbl>
    <w:p w:rsidR="00784B83" w:rsidRPr="007E6F96" w:rsidRDefault="00784B83" w:rsidP="00784B83">
      <w:pPr>
        <w:jc w:val="center"/>
        <w:rPr>
          <w:b/>
        </w:rPr>
      </w:pPr>
      <w:r w:rsidRPr="007E6F96">
        <w:rPr>
          <w:b/>
        </w:rPr>
        <w:t>Važna napomena:</w:t>
      </w:r>
    </w:p>
    <w:p w:rsidR="00784B83" w:rsidRDefault="00784B83" w:rsidP="00784B83">
      <w:pPr>
        <w:jc w:val="center"/>
        <w:rPr>
          <w:rFonts w:ascii="Arial" w:hAnsi="Arial" w:cs="Arial"/>
          <w:color w:val="474747"/>
          <w:sz w:val="18"/>
          <w:szCs w:val="18"/>
        </w:rPr>
      </w:pPr>
      <w:r w:rsidRPr="007E6F96">
        <w:rPr>
          <w:b/>
        </w:rPr>
        <w:t>Popunjeni obrazac dostaviti na adresu elektron</w:t>
      </w:r>
      <w:r>
        <w:rPr>
          <w:b/>
        </w:rPr>
        <w:t>ičke</w:t>
      </w:r>
      <w:r w:rsidRPr="007E6F96">
        <w:rPr>
          <w:b/>
        </w:rPr>
        <w:t xml:space="preserve"> pošte:</w:t>
      </w:r>
      <w:r>
        <w:rPr>
          <w:b/>
        </w:rPr>
        <w:t xml:space="preserve"> normativa@zagreb.hr</w:t>
      </w:r>
      <w:r w:rsidRPr="007E6F96">
        <w:rPr>
          <w:b/>
        </w:rPr>
        <w:t xml:space="preserve"> </w:t>
      </w:r>
      <w:r w:rsidRPr="005B02A3">
        <w:rPr>
          <w:rFonts w:ascii="Arial" w:hAnsi="Arial" w:cs="Arial"/>
          <w:color w:val="474747"/>
          <w:sz w:val="18"/>
          <w:szCs w:val="18"/>
        </w:rPr>
        <w:t xml:space="preserve"> </w:t>
      </w:r>
    </w:p>
    <w:p w:rsidR="00784B83" w:rsidRPr="007E6F96" w:rsidRDefault="00784B83" w:rsidP="00784B83">
      <w:pPr>
        <w:jc w:val="center"/>
        <w:rPr>
          <w:b/>
        </w:rPr>
      </w:pPr>
      <w:hyperlink r:id="rId4" w:history="1"/>
      <w:r>
        <w:rPr>
          <w:b/>
        </w:rPr>
        <w:t xml:space="preserve"> zaključno do  </w:t>
      </w:r>
      <w:r>
        <w:rPr>
          <w:b/>
        </w:rPr>
        <w:t>18</w:t>
      </w:r>
      <w:r>
        <w:rPr>
          <w:b/>
        </w:rPr>
        <w:t>. studenog 2025.</w:t>
      </w:r>
    </w:p>
    <w:p w:rsidR="00784B83" w:rsidRPr="007E6F96" w:rsidRDefault="00784B83" w:rsidP="00784B83">
      <w:pPr>
        <w:pStyle w:val="Default"/>
        <w:jc w:val="center"/>
        <w:rPr>
          <w:b/>
          <w:color w:val="auto"/>
        </w:rPr>
      </w:pPr>
      <w:r w:rsidRPr="007E6F96">
        <w:rPr>
          <w:b/>
          <w:color w:val="auto"/>
        </w:rPr>
        <w:t>Po završetku savjetovanja, sve pristigle primjedbe/prijedlozi  bit</w:t>
      </w:r>
      <w:r>
        <w:rPr>
          <w:b/>
          <w:color w:val="auto"/>
        </w:rPr>
        <w:t>i</w:t>
      </w:r>
      <w:r w:rsidRPr="007E6F96">
        <w:rPr>
          <w:b/>
          <w:color w:val="auto"/>
        </w:rPr>
        <w:t xml:space="preserve"> će javno dostupni na internetskoj stranici </w:t>
      </w:r>
      <w:r>
        <w:rPr>
          <w:b/>
          <w:color w:val="auto"/>
        </w:rPr>
        <w:t>Grada Zagreba.</w:t>
      </w:r>
    </w:p>
    <w:p w:rsidR="00784B83" w:rsidRPr="007E6F96" w:rsidRDefault="00784B83" w:rsidP="00784B83">
      <w:pPr>
        <w:pStyle w:val="FootnoteText"/>
        <w:spacing w:after="0"/>
        <w:jc w:val="center"/>
        <w:outlineLvl w:val="0"/>
        <w:rPr>
          <w:rFonts w:ascii="Times New Roman" w:hAnsi="Times New Roman"/>
          <w:b/>
          <w:sz w:val="24"/>
          <w:szCs w:val="24"/>
        </w:rPr>
      </w:pPr>
      <w:r w:rsidRPr="007E6F96">
        <w:rPr>
          <w:rFonts w:ascii="Times New Roman" w:hAnsi="Times New Roman"/>
          <w:b/>
          <w:sz w:val="24"/>
          <w:szCs w:val="24"/>
        </w:rPr>
        <w:t>Anonimni, uvredljivi i irelevantni komentari neće se objaviti.</w:t>
      </w:r>
    </w:p>
    <w:p w:rsidR="005F4581" w:rsidRDefault="005F4581"/>
    <w:sectPr w:rsidR="005F45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B83"/>
    <w:rsid w:val="00484EB5"/>
    <w:rsid w:val="00572573"/>
    <w:rsid w:val="005F4581"/>
    <w:rsid w:val="00784B83"/>
    <w:rsid w:val="008F091B"/>
    <w:rsid w:val="00CE20A7"/>
    <w:rsid w:val="00E139F0"/>
    <w:rsid w:val="00E70746"/>
    <w:rsid w:val="00F708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1B726"/>
  <w15:chartTrackingRefBased/>
  <w15:docId w15:val="{E8EBDFC7-7E05-4E86-B268-4C6B748FE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B83"/>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4B83"/>
    <w:pPr>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paragraph" w:styleId="FootnoteText">
    <w:name w:val="footnote text"/>
    <w:basedOn w:val="Normal"/>
    <w:link w:val="FootnoteTextChar"/>
    <w:unhideWhenUsed/>
    <w:rsid w:val="00784B83"/>
    <w:pPr>
      <w:spacing w:after="200" w:line="276" w:lineRule="auto"/>
    </w:pPr>
    <w:rPr>
      <w:rFonts w:ascii="Calibri" w:eastAsia="Calibri" w:hAnsi="Calibri"/>
      <w:sz w:val="20"/>
      <w:szCs w:val="20"/>
      <w:lang w:eastAsia="en-US"/>
    </w:rPr>
  </w:style>
  <w:style w:type="character" w:customStyle="1" w:styleId="FootnoteTextChar">
    <w:name w:val="Footnote Text Char"/>
    <w:basedOn w:val="DefaultParagraphFont"/>
    <w:link w:val="FootnoteText"/>
    <w:rsid w:val="00784B8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707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746"/>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6965">
      <w:bodyDiv w:val="1"/>
      <w:marLeft w:val="0"/>
      <w:marRight w:val="0"/>
      <w:marTop w:val="0"/>
      <w:marBottom w:val="0"/>
      <w:divBdr>
        <w:top w:val="none" w:sz="0" w:space="0" w:color="auto"/>
        <w:left w:val="none" w:sz="0" w:space="0" w:color="auto"/>
        <w:bottom w:val="none" w:sz="0" w:space="0" w:color="auto"/>
        <w:right w:val="none" w:sz="0" w:space="0" w:color="auto"/>
      </w:divBdr>
    </w:div>
    <w:div w:id="174433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atasa.Oreskovic-Kriznjak@zagreb.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Tomljenović</dc:creator>
  <cp:keywords/>
  <dc:description/>
  <cp:lastModifiedBy>Ana Tomljenović</cp:lastModifiedBy>
  <cp:revision>2</cp:revision>
  <cp:lastPrinted>2025-10-20T13:37:00Z</cp:lastPrinted>
  <dcterms:created xsi:type="dcterms:W3CDTF">2025-10-20T13:23:00Z</dcterms:created>
  <dcterms:modified xsi:type="dcterms:W3CDTF">2025-10-20T13:41:00Z</dcterms:modified>
</cp:coreProperties>
</file>